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 xml:space="preserve">(Presentación de la asignatura, la unidad y el </w:t>
            </w:r>
            <w:proofErr w:type="spellStart"/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DBA</w:t>
            </w:r>
            <w:proofErr w:type="spellEnd"/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B81B08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Asignatura: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Artística</w:t>
            </w:r>
          </w:p>
          <w:p w:rsidR="003C2CDC" w:rsidRDefault="00B81B08" w:rsidP="009D6592">
            <w:pPr>
              <w:rPr>
                <w:rStyle w:val="CitaHTML"/>
                <w:rFonts w:ascii="Arial" w:hAnsi="Arial" w:cs="Arial"/>
                <w:i w:val="0"/>
              </w:rPr>
            </w:pPr>
            <w:r w:rsidRPr="00B81B08">
              <w:rPr>
                <w:rStyle w:val="CitaHTML"/>
                <w:rFonts w:ascii="Arial" w:hAnsi="Arial" w:cs="Arial"/>
                <w:i w:val="0"/>
              </w:rPr>
              <w:t>Unidad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1</w:t>
            </w:r>
          </w:p>
          <w:p w:rsidR="004C2C0A" w:rsidRDefault="00E24FAD" w:rsidP="004C2C0A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El mundo mágico del color</w:t>
            </w:r>
          </w:p>
          <w:p w:rsidR="004C2C0A" w:rsidRPr="004C2C0A" w:rsidRDefault="004C2C0A" w:rsidP="004C2C0A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>Estudiantes y padres de familia por favor tener en cuenta lo siguiente: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1.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Enviar sus actividades con nombres y apellidos, grado y asignatura al correo institucional del docente </w:t>
            </w:r>
            <w:r>
              <w:rPr>
                <w:rStyle w:val="CitaHTML"/>
                <w:rFonts w:ascii="Arial" w:hAnsi="Arial" w:cs="Arial"/>
                <w:i w:val="0"/>
              </w:rPr>
              <w:t>carrieta</w:t>
            </w:r>
            <w:r w:rsidRPr="005D08EC">
              <w:rPr>
                <w:rStyle w:val="CitaHTML"/>
                <w:rFonts w:ascii="Arial" w:hAnsi="Arial" w:cs="Arial"/>
                <w:i w:val="0"/>
              </w:rPr>
              <w:t xml:space="preserve">@inemadol.edu.co </w:t>
            </w:r>
          </w:p>
          <w:p w:rsidR="00A50920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</w:rPr>
              <w:t>2</w:t>
            </w:r>
            <w:r w:rsidRPr="005D08EC">
              <w:rPr>
                <w:rStyle w:val="CitaHTML"/>
                <w:rFonts w:ascii="Arial" w:hAnsi="Arial" w:cs="Arial"/>
                <w:i w:val="0"/>
              </w:rPr>
              <w:t>.Enviar sus actividades y realizar las evaluaciones en la fecha indicada por el docente en la guía.</w:t>
            </w:r>
          </w:p>
          <w:p w:rsidR="005D08EC" w:rsidRPr="005D08EC" w:rsidRDefault="00A50920" w:rsidP="005D08EC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3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2F0340" w:rsidRPr="005D08EC">
              <w:rPr>
                <w:rStyle w:val="CitaHTML"/>
                <w:rFonts w:ascii="Arial" w:hAnsi="Arial" w:cs="Arial"/>
                <w:i w:val="0"/>
              </w:rPr>
              <w:t>se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resolverán dudas generales </w:t>
            </w:r>
            <w:r w:rsidR="005D08EC">
              <w:rPr>
                <w:rStyle w:val="CitaHTML"/>
                <w:rFonts w:ascii="Arial" w:hAnsi="Arial" w:cs="Arial"/>
                <w:i w:val="0"/>
              </w:rPr>
              <w:t xml:space="preserve">a través del grupo de </w:t>
            </w:r>
            <w:proofErr w:type="spellStart"/>
            <w:r w:rsidR="005D08EC">
              <w:rPr>
                <w:rStyle w:val="CitaHTML"/>
                <w:rFonts w:ascii="Arial" w:hAnsi="Arial" w:cs="Arial"/>
                <w:i w:val="0"/>
              </w:rPr>
              <w:t>wassapp</w:t>
            </w:r>
            <w:proofErr w:type="spellEnd"/>
            <w:r w:rsidR="005D08EC">
              <w:rPr>
                <w:rStyle w:val="CitaHTML"/>
                <w:rFonts w:ascii="Arial" w:hAnsi="Arial" w:cs="Arial"/>
                <w:i w:val="0"/>
              </w:rPr>
              <w:t xml:space="preserve"> de cada grado</w:t>
            </w:r>
            <w:r w:rsidR="005D08EC"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5D08EC" w:rsidRPr="005D08EC" w:rsidRDefault="005D08EC" w:rsidP="005D08EC">
            <w:pPr>
              <w:rPr>
                <w:rStyle w:val="CitaHTML"/>
                <w:rFonts w:ascii="Arial" w:hAnsi="Arial" w:cs="Arial"/>
                <w:i w:val="0"/>
              </w:rPr>
            </w:pPr>
            <w:r w:rsidRPr="005D08EC"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D08EC" w:rsidRDefault="005D08EC" w:rsidP="009D6592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C05F64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  <w:p w:rsidR="003C2CDC" w:rsidRPr="003C2EE7" w:rsidRDefault="00C05F64" w:rsidP="009D6592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 </w:t>
            </w: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  <w:proofErr w:type="spellEnd"/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2.1 NOMBRE DE LA </w:t>
            </w: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INSTITUCION</w:t>
            </w:r>
            <w:proofErr w:type="spellEnd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2.2 NOMBRE DEL </w:t>
            </w:r>
            <w:proofErr w:type="spellStart"/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AREA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 w:rsidRPr="00CD5F8B"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María Doraliza López de Mejía</w:t>
            </w:r>
          </w:p>
        </w:tc>
        <w:tc>
          <w:tcPr>
            <w:tcW w:w="5123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Artística</w:t>
            </w:r>
          </w:p>
        </w:tc>
        <w:tc>
          <w:tcPr>
            <w:tcW w:w="1275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1</w:t>
            </w:r>
          </w:p>
        </w:tc>
        <w:tc>
          <w:tcPr>
            <w:tcW w:w="1134" w:type="dxa"/>
          </w:tcPr>
          <w:p w:rsidR="0099127B" w:rsidRPr="003C2EE7" w:rsidRDefault="00E24FAD" w:rsidP="00CD5F8B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noveno</w:t>
            </w:r>
          </w:p>
        </w:tc>
        <w:tc>
          <w:tcPr>
            <w:tcW w:w="1281" w:type="dxa"/>
          </w:tcPr>
          <w:p w:rsidR="0099127B" w:rsidRPr="003C2EE7" w:rsidRDefault="00CD5F8B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01-02-03</w:t>
            </w:r>
          </w:p>
        </w:tc>
      </w:tr>
    </w:tbl>
    <w:p w:rsidR="009D6592" w:rsidRDefault="009D6592" w:rsidP="00941EEE">
      <w:pPr>
        <w:rPr>
          <w:rFonts w:ascii="Arial" w:hAnsi="Arial" w:cs="Arial"/>
          <w:sz w:val="20"/>
          <w:szCs w:val="20"/>
        </w:rPr>
      </w:pPr>
    </w:p>
    <w:p w:rsidR="004C2C0A" w:rsidRPr="004C2C0A" w:rsidRDefault="004C2C0A" w:rsidP="004C2C0A">
      <w:pPr>
        <w:jc w:val="righ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5F1B07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hyperlink r:id="rId8" w:history="1">
              <w:r w:rsidR="003A0312" w:rsidRPr="00CD5410">
                <w:rPr>
                  <w:rStyle w:val="Hipervnculo"/>
                  <w:rFonts w:ascii="Arial" w:hAnsi="Arial" w:cs="Arial"/>
                  <w:b/>
                </w:rPr>
                <w:t>carrieta@inemadol.edu.co</w:t>
              </w:r>
            </w:hyperlink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E207D1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de </w:t>
            </w:r>
            <w:r w:rsidR="00A57D62">
              <w:rPr>
                <w:rStyle w:val="CitaHTML"/>
                <w:rFonts w:ascii="Arial" w:hAnsi="Arial" w:cs="Arial"/>
                <w:b/>
                <w:i w:val="0"/>
              </w:rPr>
              <w:t>m</w:t>
            </w:r>
            <w:r>
              <w:rPr>
                <w:rStyle w:val="CitaHTML"/>
                <w:rFonts w:ascii="Arial" w:hAnsi="Arial" w:cs="Arial"/>
                <w:b/>
                <w:i w:val="0"/>
              </w:rPr>
              <w:t>ayo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DE1488" w:rsidRPr="00E001F4" w:rsidRDefault="00DE14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6232"/>
        <w:gridCol w:w="993"/>
        <w:gridCol w:w="5670"/>
        <w:gridCol w:w="4005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4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394BE1" w:rsidRPr="00443EDD" w:rsidTr="00394BE1">
        <w:trPr>
          <w:trHeight w:val="417"/>
          <w:jc w:val="center"/>
        </w:trPr>
        <w:tc>
          <w:tcPr>
            <w:tcW w:w="6232" w:type="dxa"/>
            <w:shd w:val="clear" w:color="auto" w:fill="99FF66"/>
            <w:vAlign w:val="center"/>
          </w:tcPr>
          <w:p w:rsidR="00394BE1" w:rsidRPr="000062FD" w:rsidRDefault="00394BE1" w:rsidP="00394BE1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NOMBRE DE LA UNIDAD:</w:t>
            </w:r>
          </w:p>
        </w:tc>
        <w:tc>
          <w:tcPr>
            <w:tcW w:w="10668" w:type="dxa"/>
            <w:gridSpan w:val="3"/>
            <w:shd w:val="clear" w:color="auto" w:fill="auto"/>
            <w:vAlign w:val="center"/>
          </w:tcPr>
          <w:p w:rsidR="00394BE1" w:rsidRPr="00990224" w:rsidRDefault="00E24FAD" w:rsidP="002A17CB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El mundo mágico del color</w:t>
            </w:r>
          </w:p>
          <w:p w:rsidR="00394BE1" w:rsidRPr="00990224" w:rsidRDefault="00394BE1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DE1488" w:rsidRPr="00443EDD" w:rsidTr="00DE1488">
        <w:trPr>
          <w:trHeight w:val="417"/>
          <w:jc w:val="center"/>
        </w:trPr>
        <w:tc>
          <w:tcPr>
            <w:tcW w:w="7225" w:type="dxa"/>
            <w:gridSpan w:val="2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COMPETENCIAS</w:t>
            </w:r>
          </w:p>
        </w:tc>
        <w:tc>
          <w:tcPr>
            <w:tcW w:w="5670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  <w:tc>
          <w:tcPr>
            <w:tcW w:w="4005" w:type="dxa"/>
            <w:shd w:val="clear" w:color="auto" w:fill="99FF66"/>
            <w:vAlign w:val="center"/>
          </w:tcPr>
          <w:p w:rsidR="00DE1488" w:rsidRPr="00443EDD" w:rsidRDefault="00DE1488" w:rsidP="00540C56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RELACIONES INTERDISCIPLINARES</w:t>
            </w:r>
          </w:p>
        </w:tc>
      </w:tr>
      <w:tr w:rsidR="009817BE" w:rsidRPr="003C2EE7" w:rsidTr="00F27C55">
        <w:trPr>
          <w:trHeight w:val="610"/>
          <w:jc w:val="center"/>
        </w:trPr>
        <w:tc>
          <w:tcPr>
            <w:tcW w:w="7225" w:type="dxa"/>
            <w:gridSpan w:val="2"/>
          </w:tcPr>
          <w:p w:rsidR="0033436B" w:rsidRPr="007C4ABE" w:rsidRDefault="0033436B" w:rsidP="00C34717">
            <w:pPr>
              <w:rPr>
                <w:rStyle w:val="CitaHTML"/>
                <w:rFonts w:cstheme="minorHAnsi"/>
                <w:i w:val="0"/>
              </w:rPr>
            </w:pPr>
          </w:p>
          <w:p w:rsidR="00F45C3F" w:rsidRPr="003C2EE7" w:rsidRDefault="00423D4F" w:rsidP="00C34717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Creativa, expresivo</w:t>
            </w:r>
            <w:r w:rsidR="00D37E7E">
              <w:rPr>
                <w:rStyle w:val="CitaHTML"/>
                <w:rFonts w:ascii="Arial" w:hAnsi="Arial" w:cs="Arial"/>
                <w:i w:val="0"/>
              </w:rPr>
              <w:t xml:space="preserve">, estética </w:t>
            </w:r>
          </w:p>
        </w:tc>
        <w:tc>
          <w:tcPr>
            <w:tcW w:w="5670" w:type="dxa"/>
          </w:tcPr>
          <w:p w:rsidR="0095474D" w:rsidRPr="00BC4125" w:rsidRDefault="0095474D" w:rsidP="008A0416">
            <w:pPr>
              <w:rPr>
                <w:rStyle w:val="CitaHTML"/>
                <w:rFonts w:cstheme="minorHAnsi"/>
                <w:i w:val="0"/>
              </w:rPr>
            </w:pPr>
          </w:p>
          <w:p w:rsidR="00002FD1" w:rsidRPr="00BC4125" w:rsidRDefault="001A5C69" w:rsidP="008A0416">
            <w:pPr>
              <w:rPr>
                <w:rStyle w:val="CitaHTML"/>
                <w:rFonts w:cstheme="minorHAnsi"/>
                <w:i w:val="0"/>
              </w:rPr>
            </w:pPr>
            <w:r w:rsidRPr="00BC4125">
              <w:rPr>
                <w:rStyle w:val="CitaHTML"/>
                <w:rFonts w:cstheme="minorHAnsi"/>
                <w:i w:val="0"/>
              </w:rPr>
              <w:t>-</w:t>
            </w:r>
            <w:r w:rsidR="00002FD1">
              <w:rPr>
                <w:rStyle w:val="CitaHTML"/>
                <w:rFonts w:cstheme="minorHAnsi"/>
                <w:i w:val="0"/>
              </w:rPr>
              <w:t>Hace composición artística</w:t>
            </w:r>
            <w:r w:rsidR="00E207D1">
              <w:rPr>
                <w:rStyle w:val="CitaHTML"/>
                <w:rFonts w:cstheme="minorHAnsi"/>
                <w:i w:val="0"/>
              </w:rPr>
              <w:t xml:space="preserve"> aplicando </w:t>
            </w:r>
            <w:r w:rsidR="00DD0327">
              <w:rPr>
                <w:rStyle w:val="CitaHTML"/>
                <w:rFonts w:cstheme="minorHAnsi"/>
                <w:i w:val="0"/>
              </w:rPr>
              <w:t>monocromía</w:t>
            </w:r>
          </w:p>
        </w:tc>
        <w:tc>
          <w:tcPr>
            <w:tcW w:w="4005" w:type="dxa"/>
          </w:tcPr>
          <w:p w:rsidR="009817BE" w:rsidRDefault="009817BE" w:rsidP="00540C56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9817BE" w:rsidP="00540C56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Pr="003C2EE7" w:rsidRDefault="0095474D" w:rsidP="002F0340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Informática</w:t>
            </w:r>
            <w:r w:rsidR="00E24FAD">
              <w:rPr>
                <w:rStyle w:val="CitaHTML"/>
                <w:rFonts w:ascii="Arial" w:hAnsi="Arial" w:cs="Arial"/>
                <w:i w:val="0"/>
              </w:rPr>
              <w:t>, ciencias sociales</w:t>
            </w:r>
          </w:p>
        </w:tc>
      </w:tr>
      <w:tr w:rsidR="009817BE" w:rsidRPr="003C2EE7" w:rsidTr="003A1BE3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423D4F" w:rsidP="00F45C3F">
            <w:pPr>
              <w:rPr>
                <w:rStyle w:val="CitaHTML"/>
                <w:rFonts w:ascii="Arial" w:hAnsi="Arial" w:cs="Arial"/>
                <w:i w:val="0"/>
              </w:rPr>
            </w:pPr>
            <w:r w:rsidRPr="00423D4F">
              <w:rPr>
                <w:rStyle w:val="CitaHTML"/>
                <w:rFonts w:ascii="Arial" w:hAnsi="Arial" w:cs="Arial"/>
                <w:i w:val="0"/>
              </w:rPr>
              <w:t>Creativa, expresivo</w:t>
            </w:r>
            <w:r w:rsidR="00D37E7E">
              <w:rPr>
                <w:rStyle w:val="CitaHTML"/>
                <w:rFonts w:ascii="Arial" w:hAnsi="Arial" w:cs="Arial"/>
                <w:i w:val="0"/>
              </w:rPr>
              <w:t>, estética</w:t>
            </w:r>
          </w:p>
        </w:tc>
        <w:tc>
          <w:tcPr>
            <w:tcW w:w="5670" w:type="dxa"/>
          </w:tcPr>
          <w:p w:rsidR="009817BE" w:rsidRPr="007C4ABE" w:rsidRDefault="007C4ABE" w:rsidP="007C4ABE">
            <w:pPr>
              <w:rPr>
                <w:rStyle w:val="CitaHTML"/>
                <w:rFonts w:cstheme="minorHAnsi"/>
                <w:i w:val="0"/>
              </w:rPr>
            </w:pPr>
            <w:r w:rsidRPr="007C4ABE">
              <w:rPr>
                <w:rStyle w:val="CitaHTML"/>
                <w:rFonts w:cstheme="minorHAnsi"/>
                <w:i w:val="0"/>
              </w:rPr>
              <w:t>-</w:t>
            </w:r>
            <w:r w:rsidR="00DD0327">
              <w:rPr>
                <w:rStyle w:val="CitaHTML"/>
                <w:rFonts w:cstheme="minorHAnsi"/>
                <w:i w:val="0"/>
              </w:rPr>
              <w:t xml:space="preserve">Distingue </w:t>
            </w:r>
            <w:r w:rsidR="00DB37CA">
              <w:rPr>
                <w:rStyle w:val="CitaHTML"/>
                <w:rFonts w:cstheme="minorHAnsi"/>
                <w:i w:val="0"/>
              </w:rPr>
              <w:t xml:space="preserve">Los tonos </w:t>
            </w:r>
            <w:r w:rsidR="00DD0327">
              <w:rPr>
                <w:rStyle w:val="CitaHTML"/>
                <w:rFonts w:cstheme="minorHAnsi"/>
                <w:i w:val="0"/>
              </w:rPr>
              <w:t>de policromía</w:t>
            </w:r>
          </w:p>
        </w:tc>
        <w:tc>
          <w:tcPr>
            <w:tcW w:w="4005" w:type="dxa"/>
          </w:tcPr>
          <w:p w:rsidR="008E288F" w:rsidRDefault="008E288F" w:rsidP="00423D4F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5567D7" w:rsidP="00423D4F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informática, </w:t>
            </w:r>
            <w:r w:rsidR="00423D4F">
              <w:rPr>
                <w:rStyle w:val="CitaHTML"/>
                <w:rFonts w:ascii="Arial" w:hAnsi="Arial" w:cs="Arial"/>
                <w:i w:val="0"/>
              </w:rPr>
              <w:t xml:space="preserve">ciencias naturales </w:t>
            </w:r>
          </w:p>
        </w:tc>
      </w:tr>
      <w:tr w:rsidR="009817BE" w:rsidRPr="003C2EE7" w:rsidTr="00BF5FEF">
        <w:trPr>
          <w:trHeight w:val="610"/>
          <w:jc w:val="center"/>
        </w:trPr>
        <w:tc>
          <w:tcPr>
            <w:tcW w:w="7225" w:type="dxa"/>
            <w:gridSpan w:val="2"/>
          </w:tcPr>
          <w:p w:rsidR="009817BE" w:rsidRPr="003C2EE7" w:rsidRDefault="00423D4F" w:rsidP="00A57D62">
            <w:pPr>
              <w:rPr>
                <w:rStyle w:val="CitaHTML"/>
                <w:rFonts w:ascii="Arial" w:hAnsi="Arial" w:cs="Arial"/>
                <w:i w:val="0"/>
              </w:rPr>
            </w:pPr>
            <w:r w:rsidRPr="00423D4F">
              <w:rPr>
                <w:rStyle w:val="CitaHTML"/>
                <w:rFonts w:ascii="Arial" w:hAnsi="Arial" w:cs="Arial"/>
                <w:i w:val="0"/>
              </w:rPr>
              <w:t xml:space="preserve">Creativa, </w:t>
            </w:r>
            <w:r w:rsidR="00D37E7E" w:rsidRPr="00423D4F">
              <w:rPr>
                <w:rStyle w:val="CitaHTML"/>
                <w:rFonts w:ascii="Arial" w:hAnsi="Arial" w:cs="Arial"/>
                <w:i w:val="0"/>
              </w:rPr>
              <w:t>expresivo</w:t>
            </w:r>
            <w:r w:rsidR="00D37E7E">
              <w:rPr>
                <w:rStyle w:val="CitaHTML"/>
                <w:rFonts w:ascii="Arial" w:hAnsi="Arial" w:cs="Arial"/>
                <w:i w:val="0"/>
              </w:rPr>
              <w:t>, estética</w:t>
            </w:r>
          </w:p>
        </w:tc>
        <w:tc>
          <w:tcPr>
            <w:tcW w:w="5670" w:type="dxa"/>
          </w:tcPr>
          <w:p w:rsidR="009817BE" w:rsidRPr="00DD0327" w:rsidRDefault="00DD0327" w:rsidP="00DD0327">
            <w:pPr>
              <w:rPr>
                <w:rStyle w:val="CitaHTML"/>
                <w:rFonts w:cstheme="minorHAnsi"/>
                <w:i w:val="0"/>
              </w:rPr>
            </w:pPr>
            <w:r>
              <w:rPr>
                <w:rStyle w:val="CitaHTML"/>
                <w:rFonts w:cstheme="minorHAnsi"/>
                <w:i w:val="0"/>
              </w:rPr>
              <w:t xml:space="preserve">-Realiza composiciones aplicando </w:t>
            </w:r>
            <w:r w:rsidR="00D37E7E">
              <w:rPr>
                <w:rStyle w:val="CitaHTML"/>
                <w:rFonts w:cstheme="minorHAnsi"/>
                <w:i w:val="0"/>
              </w:rPr>
              <w:t>policromía</w:t>
            </w:r>
          </w:p>
        </w:tc>
        <w:tc>
          <w:tcPr>
            <w:tcW w:w="4005" w:type="dxa"/>
          </w:tcPr>
          <w:p w:rsidR="00216FA8" w:rsidRDefault="00216FA8" w:rsidP="00216FA8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817BE" w:rsidRDefault="005567D7" w:rsidP="00216FA8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I</w:t>
            </w:r>
            <w:r w:rsidR="00BC2F06">
              <w:rPr>
                <w:rStyle w:val="CitaHTML"/>
                <w:rFonts w:ascii="Arial" w:hAnsi="Arial" w:cs="Arial"/>
                <w:i w:val="0"/>
              </w:rPr>
              <w:t>nformática</w:t>
            </w:r>
            <w:r>
              <w:rPr>
                <w:rStyle w:val="CitaHTML"/>
                <w:rFonts w:ascii="Arial" w:hAnsi="Arial" w:cs="Arial"/>
                <w:i w:val="0"/>
              </w:rPr>
              <w:t>, ciencias naturales</w:t>
            </w: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062FD" w:rsidRDefault="000062FD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BC06C6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(Explique cada una de las conceptualizaciones, procedimientos y ejercicios de los aprendizajes propios del Derechos Básicos de Aprendizajes </w:t>
            </w:r>
            <w:proofErr w:type="spellStart"/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DBA</w:t>
            </w:r>
            <w:proofErr w:type="spellEnd"/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 xml:space="preserve"> e ilustre con imágenes, diagramas o gráficos)</w:t>
            </w:r>
          </w:p>
        </w:tc>
      </w:tr>
      <w:tr w:rsidR="00941EEE" w:rsidRPr="003C2EE7" w:rsidTr="00BC06C6">
        <w:trPr>
          <w:jc w:val="center"/>
        </w:trPr>
        <w:tc>
          <w:tcPr>
            <w:tcW w:w="16760" w:type="dxa"/>
          </w:tcPr>
          <w:p w:rsidR="003B1CCF" w:rsidRDefault="003B1CCF" w:rsidP="003B1CCF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B1CCF" w:rsidRDefault="003B1CCF" w:rsidP="003B1CCF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3B1CCF" w:rsidRPr="005E3706" w:rsidRDefault="003B1CCF" w:rsidP="005E3706">
            <w:pPr>
              <w:jc w:val="both"/>
              <w:rPr>
                <w:rStyle w:val="CitaHTML"/>
                <w:rFonts w:cstheme="minorHAnsi"/>
                <w:i w:val="0"/>
              </w:rPr>
            </w:pPr>
            <w:r w:rsidRPr="005E3706">
              <w:rPr>
                <w:rStyle w:val="CitaHTML"/>
                <w:rFonts w:cstheme="minorHAnsi"/>
                <w:i w:val="0"/>
              </w:rPr>
              <w:t xml:space="preserve">     Conceptos fundamentales</w:t>
            </w:r>
          </w:p>
          <w:p w:rsidR="003B1CCF" w:rsidRPr="005E3706" w:rsidRDefault="003B1CCF" w:rsidP="005E3706">
            <w:pPr>
              <w:jc w:val="both"/>
              <w:rPr>
                <w:rStyle w:val="CitaHTML"/>
                <w:rFonts w:cstheme="minorHAnsi"/>
                <w:i w:val="0"/>
              </w:rPr>
            </w:pPr>
          </w:p>
          <w:p w:rsidR="003B1CCF" w:rsidRPr="005E3706" w:rsidRDefault="003B1CCF" w:rsidP="005E3706">
            <w:pPr>
              <w:jc w:val="both"/>
              <w:rPr>
                <w:rStyle w:val="CitaHTML"/>
                <w:rFonts w:cstheme="minorHAnsi"/>
                <w:i w:val="0"/>
              </w:rPr>
            </w:pPr>
            <w:r w:rsidRPr="00211683">
              <w:rPr>
                <w:rStyle w:val="CitaHTML"/>
                <w:rFonts w:cstheme="minorHAnsi"/>
                <w:b/>
                <w:i w:val="0"/>
              </w:rPr>
              <w:t xml:space="preserve">      Monocromía</w:t>
            </w:r>
            <w:r w:rsidRPr="005E3706">
              <w:rPr>
                <w:rStyle w:val="CitaHTML"/>
                <w:rFonts w:cstheme="minorHAnsi"/>
                <w:i w:val="0"/>
              </w:rPr>
              <w:t>: Pintura o grabado que sólo emplea un color, pero combinando sus diversas tonalidades.</w:t>
            </w:r>
          </w:p>
          <w:p w:rsidR="003B1CCF" w:rsidRPr="005E3706" w:rsidRDefault="003B1CCF" w:rsidP="005E3706">
            <w:pPr>
              <w:jc w:val="both"/>
              <w:rPr>
                <w:rStyle w:val="CitaHTML"/>
                <w:rFonts w:cstheme="minorHAnsi"/>
                <w:i w:val="0"/>
              </w:rPr>
            </w:pPr>
            <w:r w:rsidRPr="005E3706">
              <w:rPr>
                <w:rStyle w:val="CitaHTML"/>
                <w:rFonts w:cstheme="minorHAnsi"/>
                <w:i w:val="0"/>
              </w:rPr>
              <w:t xml:space="preserve">      </w:t>
            </w:r>
          </w:p>
          <w:p w:rsidR="003B1CCF" w:rsidRPr="005E3706" w:rsidRDefault="003B1CCF" w:rsidP="005E3706">
            <w:pPr>
              <w:jc w:val="both"/>
              <w:rPr>
                <w:rStyle w:val="CitaHTML"/>
                <w:rFonts w:cstheme="minorHAnsi"/>
                <w:i w:val="0"/>
              </w:rPr>
            </w:pPr>
            <w:r w:rsidRPr="005E3706">
              <w:rPr>
                <w:rStyle w:val="CitaHTML"/>
                <w:rFonts w:cstheme="minorHAnsi"/>
                <w:i w:val="0"/>
              </w:rPr>
              <w:t>El arte monocromo se interpretó como un radicalismo vanguardista que buscaba los límites de la obra depurada.</w:t>
            </w:r>
          </w:p>
          <w:p w:rsidR="003B1CCF" w:rsidRPr="005E3706" w:rsidRDefault="003B1CCF" w:rsidP="005E3706">
            <w:pPr>
              <w:jc w:val="both"/>
              <w:rPr>
                <w:rStyle w:val="CitaHTML"/>
                <w:rFonts w:cstheme="minorHAnsi"/>
                <w:i w:val="0"/>
              </w:rPr>
            </w:pPr>
          </w:p>
          <w:p w:rsidR="003B1CCF" w:rsidRPr="005E3706" w:rsidRDefault="003B1CCF" w:rsidP="005E3706">
            <w:pPr>
              <w:jc w:val="both"/>
              <w:rPr>
                <w:rStyle w:val="CitaHTML"/>
                <w:rFonts w:cstheme="minorHAnsi"/>
                <w:i w:val="0"/>
              </w:rPr>
            </w:pPr>
            <w:r w:rsidRPr="005E3706">
              <w:rPr>
                <w:rStyle w:val="CitaHTML"/>
                <w:rFonts w:cstheme="minorHAnsi"/>
                <w:i w:val="0"/>
              </w:rPr>
              <w:t xml:space="preserve">Un rasgo hay en común que quiere defender el arte monocromo: El color tiene una importancia absoluta como materialización de la sensibilidad y a través de él </w:t>
            </w:r>
          </w:p>
          <w:p w:rsidR="003B1CCF" w:rsidRPr="005E3706" w:rsidRDefault="003B1CCF" w:rsidP="005E3706">
            <w:pPr>
              <w:jc w:val="both"/>
              <w:rPr>
                <w:rStyle w:val="CitaHTML"/>
                <w:rFonts w:cstheme="minorHAnsi"/>
                <w:i w:val="0"/>
              </w:rPr>
            </w:pPr>
          </w:p>
          <w:p w:rsidR="003B1CCF" w:rsidRPr="005E3706" w:rsidRDefault="003B1CCF" w:rsidP="005E3706">
            <w:pPr>
              <w:jc w:val="both"/>
              <w:rPr>
                <w:rStyle w:val="CitaHTML"/>
                <w:rFonts w:cstheme="minorHAnsi"/>
                <w:i w:val="0"/>
              </w:rPr>
            </w:pPr>
            <w:r w:rsidRPr="005E3706">
              <w:rPr>
                <w:rStyle w:val="CitaHTML"/>
                <w:rFonts w:cstheme="minorHAnsi"/>
                <w:i w:val="0"/>
              </w:rPr>
              <w:t xml:space="preserve">manifiesta su empeño por expandir la pura percepción visual a un concepto de percepción sensorial integral. El artista desafía al espectador a sumergirse en el espacio  </w:t>
            </w:r>
          </w:p>
          <w:p w:rsidR="003B1CCF" w:rsidRPr="005E3706" w:rsidRDefault="003B1CCF" w:rsidP="005E3706">
            <w:pPr>
              <w:jc w:val="both"/>
              <w:rPr>
                <w:rStyle w:val="CitaHTML"/>
                <w:rFonts w:cstheme="minorHAnsi"/>
                <w:i w:val="0"/>
              </w:rPr>
            </w:pPr>
          </w:p>
          <w:p w:rsidR="003B1CCF" w:rsidRPr="005E3706" w:rsidRDefault="003B1CCF" w:rsidP="005E3706">
            <w:pPr>
              <w:jc w:val="both"/>
              <w:rPr>
                <w:rStyle w:val="CitaHTML"/>
                <w:rFonts w:cstheme="minorHAnsi"/>
                <w:i w:val="0"/>
              </w:rPr>
            </w:pPr>
            <w:r w:rsidRPr="005E3706">
              <w:rPr>
                <w:rStyle w:val="CitaHTML"/>
                <w:rFonts w:cstheme="minorHAnsi"/>
                <w:i w:val="0"/>
              </w:rPr>
              <w:t>infinito del color y a experimentar una mayor sensibilidad hacia lo inmaterial.</w:t>
            </w:r>
          </w:p>
          <w:p w:rsidR="003B1CCF" w:rsidRPr="005E3706" w:rsidRDefault="003B1CCF" w:rsidP="005E3706">
            <w:pPr>
              <w:jc w:val="both"/>
              <w:rPr>
                <w:rStyle w:val="CitaHTML"/>
                <w:rFonts w:cstheme="minorHAnsi"/>
                <w:i w:val="0"/>
              </w:rPr>
            </w:pPr>
          </w:p>
          <w:p w:rsidR="00FC4588" w:rsidRPr="005E3706" w:rsidRDefault="003B1CCF" w:rsidP="005E3706">
            <w:pPr>
              <w:jc w:val="both"/>
              <w:rPr>
                <w:rStyle w:val="CitaHTML"/>
                <w:rFonts w:cstheme="minorHAnsi"/>
                <w:i w:val="0"/>
              </w:rPr>
            </w:pPr>
            <w:r w:rsidRPr="005E3706">
              <w:rPr>
                <w:rStyle w:val="CitaHTML"/>
                <w:rFonts w:cstheme="minorHAnsi"/>
                <w:i w:val="0"/>
              </w:rPr>
              <w:t>Si en un principio costó asimilar el arte monocromo ya que se afirmaba que con un solo color no era suficiente para construir una pintura o un grabado, hoy nadie discute la importancia del arte monocromo</w:t>
            </w:r>
          </w:p>
          <w:p w:rsidR="008B2311" w:rsidRPr="005E3706" w:rsidRDefault="004B4865" w:rsidP="005E3706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  <w:r w:rsidRPr="005E3706">
              <w:rPr>
                <w:rStyle w:val="CitaHTML"/>
                <w:rFonts w:cstheme="minorHAnsi"/>
                <w:i w:val="0"/>
                <w:noProof/>
              </w:rPr>
              <w:t xml:space="preserve">                                 </w:t>
            </w:r>
            <w:r w:rsidR="00F924D3" w:rsidRPr="005E3706">
              <w:rPr>
                <w:rStyle w:val="CitaHTML"/>
                <w:rFonts w:cstheme="minorHAnsi"/>
                <w:i w:val="0"/>
                <w:noProof/>
              </w:rPr>
              <w:t xml:space="preserve">                                                                                                                                                  </w:t>
            </w:r>
            <w:r w:rsidRPr="005E3706">
              <w:rPr>
                <w:rStyle w:val="CitaHTML"/>
                <w:rFonts w:cstheme="minorHAnsi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  <w:r w:rsidR="00F924D3" w:rsidRPr="005E3706">
              <w:rPr>
                <w:rStyle w:val="CitaHTML"/>
                <w:rFonts w:cstheme="minorHAnsi"/>
                <w:i w:val="0"/>
                <w:noProof/>
              </w:rPr>
              <w:t xml:space="preserve">        </w:t>
            </w:r>
          </w:p>
          <w:p w:rsidR="00211683" w:rsidRPr="00211683" w:rsidRDefault="00F207C2" w:rsidP="00211683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  <w:r w:rsidRPr="00F207C2">
              <w:rPr>
                <w:rStyle w:val="CitaHTML"/>
                <w:rFonts w:cstheme="minorHAnsi"/>
                <w:b/>
                <w:i w:val="0"/>
                <w:noProof/>
              </w:rPr>
              <w:t>Policromia</w:t>
            </w:r>
            <w:r>
              <w:rPr>
                <w:rStyle w:val="CitaHTML"/>
                <w:rFonts w:cstheme="minorHAnsi"/>
                <w:i w:val="0"/>
                <w:noProof/>
              </w:rPr>
              <w:t xml:space="preserve"> </w:t>
            </w:r>
            <w:r w:rsidR="00800292" w:rsidRPr="005E3706">
              <w:rPr>
                <w:rStyle w:val="CitaHTML"/>
                <w:rFonts w:cstheme="minorHAnsi"/>
                <w:i w:val="0"/>
                <w:noProof/>
              </w:rPr>
              <w:t xml:space="preserve"> </w:t>
            </w:r>
            <w:r w:rsidR="00211683" w:rsidRPr="00211683">
              <w:rPr>
                <w:rStyle w:val="CitaHTML"/>
                <w:rFonts w:cstheme="minorHAnsi"/>
                <w:i w:val="0"/>
                <w:noProof/>
              </w:rPr>
              <w:t>Mezcla de varios colores. Arte de pintar o decorar con múltiples colores. Es opuesto a la monocromía.</w:t>
            </w:r>
          </w:p>
          <w:p w:rsidR="00211683" w:rsidRPr="00211683" w:rsidRDefault="00211683" w:rsidP="00211683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  <w:r w:rsidRPr="00211683">
              <w:rPr>
                <w:rStyle w:val="CitaHTML"/>
                <w:rFonts w:cstheme="minorHAnsi"/>
                <w:i w:val="0"/>
                <w:noProof/>
              </w:rPr>
              <w:t>Cualidad de lo que posee varios colores.</w:t>
            </w:r>
          </w:p>
          <w:p w:rsidR="00211683" w:rsidRPr="00211683" w:rsidRDefault="00211683" w:rsidP="00211683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  <w:r w:rsidRPr="00211683">
              <w:rPr>
                <w:rStyle w:val="CitaHTML"/>
                <w:rFonts w:cstheme="minorHAnsi"/>
                <w:i w:val="0"/>
                <w:noProof/>
              </w:rPr>
              <w:t>Breve historia de la policromía (texto de dominio público)</w:t>
            </w:r>
          </w:p>
          <w:p w:rsidR="00211683" w:rsidRPr="00211683" w:rsidRDefault="00F207C2" w:rsidP="00211683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  <w:r>
              <w:rPr>
                <w:rStyle w:val="CitaHTML"/>
                <w:rFonts w:cstheme="minorHAnsi"/>
                <w:i w:val="0"/>
                <w:noProof/>
              </w:rPr>
              <w:t>-</w:t>
            </w:r>
            <w:r w:rsidR="00211683" w:rsidRPr="00211683">
              <w:rPr>
                <w:rStyle w:val="CitaHTML"/>
                <w:rFonts w:cstheme="minorHAnsi"/>
                <w:i w:val="0"/>
                <w:noProof/>
              </w:rPr>
              <w:t xml:space="preserve"> Edad antigua: En la antigüedad, los asirios y caldeos pintaron de brillantes colores sus estatuas y aparte de esto decoraban las paredes de sus edificios con azulejos, pinturas murales de color vivo cuyo perfil quedaba dibujado por una raya gruesa negra o de color. Los egipcios cubrieron de pinturas jeroglíficas sus templos y palacios.</w:t>
            </w:r>
          </w:p>
          <w:p w:rsidR="00211683" w:rsidRPr="00211683" w:rsidRDefault="00211683" w:rsidP="00211683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  <w:r w:rsidRPr="00211683">
              <w:rPr>
                <w:rStyle w:val="CitaHTML"/>
                <w:rFonts w:cstheme="minorHAnsi"/>
                <w:i w:val="0"/>
                <w:noProof/>
              </w:rPr>
              <w:t>Los griegos fueron asimismo maestros en policromar sus monumentos y lo mismo puede decirse de los antiguos mexicanos.</w:t>
            </w:r>
          </w:p>
          <w:p w:rsidR="00211683" w:rsidRPr="00211683" w:rsidRDefault="00211683" w:rsidP="00211683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</w:p>
          <w:p w:rsidR="00211683" w:rsidRPr="00211683" w:rsidRDefault="00211683" w:rsidP="00211683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  <w:r w:rsidRPr="00211683">
              <w:rPr>
                <w:rStyle w:val="CitaHTML"/>
                <w:rFonts w:cstheme="minorHAnsi"/>
                <w:i w:val="0"/>
                <w:noProof/>
              </w:rPr>
              <w:t>Los descubrimientos hechos durante el siglo XIX han permitido cerciorarse de que los helenos cubrían con un sólido estuco, generalmente rojo, las gradinatas y el suelo de sus templos. Los capiteles y arquitrabes recibían un tono carmín; las cornisas eran azules, realzadas con adornos rojos, pardos, amarillos y verdes; el tímpano era azul; los canales, tejas, acroteras, antefijas y todos los barros cocidos ofrecían brillantes colores, hábilmente armonizados. Los edificios civiles o profanos estaban decorados también con pinturas murales.</w:t>
            </w:r>
          </w:p>
          <w:p w:rsidR="00211683" w:rsidRPr="00211683" w:rsidRDefault="00211683" w:rsidP="00211683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</w:p>
          <w:p w:rsidR="00211683" w:rsidRPr="00211683" w:rsidRDefault="00211683" w:rsidP="00211683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  <w:r w:rsidRPr="00211683">
              <w:rPr>
                <w:rStyle w:val="CitaHTML"/>
                <w:rFonts w:cstheme="minorHAnsi"/>
                <w:i w:val="0"/>
                <w:noProof/>
              </w:rPr>
              <w:t>Los romanos emplearon mucho las columnas monolitas de mármol de diversos matices y los mosaicos. Los bizantinos, herederos del arte helénico, continuaron la tradición y transmitieron la policromía a los árabes y a los pueblos de Occidente</w:t>
            </w:r>
            <w:r w:rsidR="00F207C2">
              <w:rPr>
                <w:rStyle w:val="CitaHTML"/>
                <w:rFonts w:cstheme="minorHAnsi"/>
                <w:i w:val="0"/>
                <w:noProof/>
              </w:rPr>
              <w:t>.</w:t>
            </w:r>
          </w:p>
          <w:p w:rsidR="00211683" w:rsidRPr="00211683" w:rsidRDefault="00211683" w:rsidP="00211683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</w:p>
          <w:p w:rsidR="004B4865" w:rsidRPr="005E3706" w:rsidRDefault="00800292" w:rsidP="005E3706">
            <w:pPr>
              <w:jc w:val="both"/>
              <w:rPr>
                <w:rStyle w:val="CitaHTML"/>
                <w:rFonts w:cstheme="minorHAnsi"/>
                <w:i w:val="0"/>
                <w:noProof/>
              </w:rPr>
            </w:pPr>
            <w:r w:rsidRPr="005E3706">
              <w:rPr>
                <w:rStyle w:val="CitaHTML"/>
                <w:rFonts w:cstheme="minorHAnsi"/>
                <w:i w:val="0"/>
                <w:noProof/>
              </w:rPr>
              <w:lastRenderedPageBreak/>
              <w:t xml:space="preserve">    </w:t>
            </w:r>
            <w:r w:rsidR="00A4491F" w:rsidRPr="005E3706">
              <w:rPr>
                <w:rStyle w:val="CitaHTML"/>
                <w:rFonts w:cstheme="minorHAnsi"/>
                <w:i w:val="0"/>
                <w:noProof/>
              </w:rPr>
              <w:t xml:space="preserve"> </w:t>
            </w:r>
          </w:p>
          <w:p w:rsidR="008B7C2C" w:rsidRPr="008B6F41" w:rsidRDefault="00037BCB" w:rsidP="003B1CCF">
            <w:pPr>
              <w:rPr>
                <w:rStyle w:val="CitaHTML"/>
                <w:rFonts w:cstheme="minorHAnsi"/>
                <w:i w:val="0"/>
                <w:noProof/>
              </w:rPr>
            </w:pPr>
            <w:r w:rsidRPr="008B6F41">
              <w:rPr>
                <w:rStyle w:val="CitaHTML"/>
                <w:rFonts w:cstheme="minorHAnsi"/>
                <w:i w:val="0"/>
                <w:noProof/>
              </w:rPr>
              <w:t xml:space="preserve">   </w:t>
            </w:r>
            <w:r w:rsidR="00F207C2" w:rsidRPr="008B6F41">
              <w:rPr>
                <w:rStyle w:val="CitaHTML"/>
                <w:rFonts w:cstheme="minorHAnsi"/>
                <w:i w:val="0"/>
                <w:noProof/>
              </w:rPr>
              <w:t xml:space="preserve">            Ejemplo de composicion monocromia</w:t>
            </w:r>
          </w:p>
          <w:p w:rsidR="008B7C2C" w:rsidRDefault="008B7C2C" w:rsidP="00C0401D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</w:t>
            </w:r>
            <w:r w:rsidR="00800292">
              <w:rPr>
                <w:rStyle w:val="CitaHTML"/>
                <w:rFonts w:ascii="Arial" w:hAnsi="Arial" w:cs="Arial"/>
                <w:i w:val="0"/>
                <w:noProof/>
              </w:rPr>
              <w:t xml:space="preserve"> 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</w:t>
            </w:r>
          </w:p>
          <w:p w:rsidR="008B6F41" w:rsidRDefault="008F383C" w:rsidP="008F383C">
            <w:pPr>
              <w:rPr>
                <w:rStyle w:val="CitaHTML"/>
                <w:rFonts w:ascii="Arial" w:hAnsi="Arial" w:cs="Arial"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</w:t>
            </w:r>
            <w:bookmarkStart w:id="0" w:name="_GoBack"/>
            <w:r w:rsidR="00F207C2">
              <w:rPr>
                <w:noProof/>
              </w:rPr>
              <w:drawing>
                <wp:inline distT="0" distB="0" distL="0" distR="0" wp14:anchorId="572C967F" wp14:editId="54782EBF">
                  <wp:extent cx="3219450" cy="1724025"/>
                  <wp:effectExtent l="0" t="0" r="0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 w:rsidR="008B6F41"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 w:rsidR="008B6F41">
              <w:rPr>
                <w:rStyle w:val="CitaHTML"/>
                <w:rFonts w:ascii="Arial" w:hAnsi="Arial" w:cs="Arial"/>
              </w:rPr>
              <w:t xml:space="preserve">                                                              </w:t>
            </w:r>
          </w:p>
          <w:p w:rsidR="008F383C" w:rsidRDefault="008B6F41" w:rsidP="008F383C">
            <w:pPr>
              <w:rPr>
                <w:rStyle w:val="CitaHTML"/>
                <w:rFonts w:ascii="Arial" w:hAnsi="Arial" w:cs="Arial"/>
              </w:rPr>
            </w:pPr>
            <w:r>
              <w:rPr>
                <w:rStyle w:val="CitaHTML"/>
                <w:rFonts w:ascii="Arial" w:hAnsi="Arial" w:cs="Arial"/>
              </w:rPr>
              <w:t xml:space="preserve">         </w:t>
            </w:r>
            <w:r>
              <w:rPr>
                <w:rStyle w:val="CitaHTML"/>
                <w:rFonts w:ascii="Arial" w:hAnsi="Arial" w:cs="Arial"/>
                <w:noProof/>
              </w:rPr>
              <w:t xml:space="preserve"> </w:t>
            </w:r>
            <w:r>
              <w:rPr>
                <w:rStyle w:val="CitaHTML"/>
                <w:rFonts w:ascii="Arial" w:hAnsi="Arial" w:cs="Arial"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rStyle w:val="CitaHTML"/>
                <w:rFonts w:ascii="Arial" w:hAnsi="Arial" w:cs="Arial"/>
                <w:noProof/>
              </w:rPr>
              <w:drawing>
                <wp:inline distT="0" distB="0" distL="0" distR="0" wp14:anchorId="437E9149">
                  <wp:extent cx="3400425" cy="1800225"/>
                  <wp:effectExtent l="0" t="0" r="9525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0425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CitaHTML"/>
                <w:rFonts w:ascii="Arial" w:hAnsi="Arial" w:cs="Arial"/>
              </w:rPr>
              <w:t xml:space="preserve">     </w:t>
            </w:r>
          </w:p>
          <w:p w:rsidR="008B6F41" w:rsidRDefault="008B6F41" w:rsidP="008F383C">
            <w:pPr>
              <w:rPr>
                <w:rStyle w:val="CitaHTML"/>
                <w:rFonts w:ascii="Arial" w:hAnsi="Arial" w:cs="Arial"/>
              </w:rPr>
            </w:pPr>
            <w:r>
              <w:rPr>
                <w:rStyle w:val="CitaHTML"/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8B6F41" w:rsidRPr="008B6F41" w:rsidRDefault="008B6F41" w:rsidP="008F383C">
            <w:pPr>
              <w:rPr>
                <w:rStyle w:val="CitaHTML"/>
                <w:rFonts w:cstheme="minorHAnsi"/>
              </w:rPr>
            </w:pPr>
            <w:r w:rsidRPr="008B6F41">
              <w:rPr>
                <w:rStyle w:val="CitaHTML"/>
                <w:rFonts w:cstheme="minorHAnsi"/>
              </w:rPr>
              <w:t xml:space="preserve">                                                                                                                                              </w:t>
            </w:r>
            <w:r>
              <w:rPr>
                <w:rStyle w:val="CitaHTML"/>
                <w:rFonts w:cstheme="minorHAnsi"/>
              </w:rPr>
              <w:t xml:space="preserve">                                    </w:t>
            </w:r>
            <w:r w:rsidRPr="008B6F41">
              <w:rPr>
                <w:rStyle w:val="CitaHTML"/>
                <w:rFonts w:cstheme="minorHAnsi"/>
              </w:rPr>
              <w:t xml:space="preserve">     Monocromía</w:t>
            </w:r>
          </w:p>
          <w:p w:rsidR="008B6F41" w:rsidRPr="008B6F41" w:rsidRDefault="008B6F41" w:rsidP="008F383C">
            <w:pPr>
              <w:rPr>
                <w:rStyle w:val="CitaHTML"/>
                <w:rFonts w:ascii="Arial" w:hAnsi="Arial" w:cs="Arial"/>
              </w:rPr>
            </w:pPr>
          </w:p>
          <w:p w:rsidR="008B6F41" w:rsidRDefault="008B6F41" w:rsidP="008F383C">
            <w:pPr>
              <w:rPr>
                <w:rStyle w:val="CitaHTML"/>
                <w:rFonts w:ascii="Arial" w:hAnsi="Arial" w:cs="Arial"/>
              </w:rPr>
            </w:pPr>
          </w:p>
          <w:p w:rsidR="008B6F41" w:rsidRDefault="008B6F41" w:rsidP="008F383C">
            <w:pPr>
              <w:rPr>
                <w:rStyle w:val="CitaHTML"/>
                <w:rFonts w:ascii="Arial" w:hAnsi="Arial" w:cs="Arial"/>
              </w:rPr>
            </w:pPr>
          </w:p>
          <w:p w:rsidR="008B6F41" w:rsidRDefault="008B6F41" w:rsidP="008F383C">
            <w:pPr>
              <w:rPr>
                <w:rStyle w:val="CitaHTML"/>
                <w:rFonts w:ascii="Arial" w:hAnsi="Arial" w:cs="Arial"/>
              </w:rPr>
            </w:pPr>
          </w:p>
          <w:p w:rsidR="008B6F41" w:rsidRDefault="008B6F41" w:rsidP="008F383C">
            <w:pPr>
              <w:rPr>
                <w:rStyle w:val="CitaHTML"/>
                <w:rFonts w:ascii="Arial" w:hAnsi="Arial" w:cs="Arial"/>
              </w:rPr>
            </w:pPr>
          </w:p>
          <w:p w:rsidR="008B6F41" w:rsidRDefault="008B6F41" w:rsidP="008F383C">
            <w:pPr>
              <w:rPr>
                <w:rStyle w:val="CitaHTML"/>
                <w:rFonts w:ascii="Arial" w:hAnsi="Arial" w:cs="Arial"/>
              </w:rPr>
            </w:pPr>
          </w:p>
          <w:p w:rsidR="008B6F41" w:rsidRDefault="008B6F41" w:rsidP="008F383C">
            <w:pPr>
              <w:rPr>
                <w:rStyle w:val="CitaHTML"/>
                <w:rFonts w:ascii="Arial" w:hAnsi="Arial" w:cs="Arial"/>
              </w:rPr>
            </w:pPr>
          </w:p>
          <w:p w:rsidR="00052402" w:rsidRDefault="00800292" w:rsidP="00F2534B">
            <w:pPr>
              <w:rPr>
                <w:rStyle w:val="CitaHTML"/>
                <w:rFonts w:ascii="Arial" w:hAnsi="Arial" w:cs="Arial"/>
                <w:i w:val="0"/>
                <w:noProof/>
              </w:rPr>
            </w:pP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7C2C">
              <w:rPr>
                <w:rStyle w:val="CitaHTML"/>
                <w:rFonts w:ascii="Arial" w:hAnsi="Arial" w:cs="Arial"/>
                <w:i w:val="0"/>
                <w:noProof/>
              </w:rPr>
              <w:t xml:space="preserve"> </w:t>
            </w:r>
            <w:r>
              <w:rPr>
                <w:rStyle w:val="CitaHTML"/>
                <w:rFonts w:ascii="Arial" w:hAnsi="Arial" w:cs="Arial"/>
                <w:i w:val="0"/>
                <w:noProof/>
              </w:rPr>
              <w:t xml:space="preserve">  </w:t>
            </w:r>
            <w:r w:rsidR="00037BCB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  <w:r w:rsidR="00420C33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</w:t>
            </w:r>
            <w:r w:rsidR="008B7C2C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A77F5A">
              <w:rPr>
                <w:rStyle w:val="CitaHTML"/>
                <w:rFonts w:ascii="Arial" w:hAnsi="Arial" w:cs="Arial"/>
                <w:i w:val="0"/>
              </w:rPr>
              <w:t xml:space="preserve">                                </w:t>
            </w:r>
            <w:r w:rsidRPr="00800292">
              <w:rPr>
                <w:rStyle w:val="CitaHTML"/>
                <w:rFonts w:ascii="Arial" w:hAnsi="Arial" w:cs="Arial"/>
                <w:i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7C2C">
              <w:rPr>
                <w:rStyle w:val="CitaHTML"/>
                <w:rFonts w:ascii="Arial" w:hAnsi="Arial" w:cs="Arial"/>
                <w:i w:val="0"/>
                <w:noProof/>
              </w:rPr>
              <w:t xml:space="preserve">                                                                                                                                                         </w:t>
            </w:r>
            <w:r w:rsidR="00420C33">
              <w:rPr>
                <w:rStyle w:val="CitaHTML"/>
                <w:rFonts w:ascii="Arial" w:hAnsi="Arial" w:cs="Arial"/>
                <w:i w:val="0"/>
              </w:rPr>
              <w:t xml:space="preserve">                                   </w:t>
            </w:r>
          </w:p>
        </w:tc>
      </w:tr>
    </w:tbl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BC06C6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FC4588" w:rsidRDefault="00FC458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la guía</w:t>
            </w: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8B6F41" w:rsidP="00AB1B6C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1</w:t>
            </w:r>
            <w:r w:rsidR="00AB1B6C" w:rsidRPr="00AB1B6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-</w:t>
            </w:r>
            <w:r w:rsidR="00D13699" w:rsidRPr="00AB1B6C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Leer los conceptos y observar las imágenes que se encuentran en la guía </w:t>
            </w:r>
          </w:p>
          <w:p w:rsidR="008A4426" w:rsidRPr="00AB1B6C" w:rsidRDefault="008B6F41" w:rsidP="00AB1B6C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</w:t>
            </w:r>
            <w:r w:rsidR="008A4426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-siguiendo el modelo o imagen de la </w:t>
            </w:r>
            <w:r w:rsidR="00DD032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composición</w:t>
            </w:r>
            <w:r w:rsidR="008A4426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uno.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</w:t>
            </w:r>
            <w:r w:rsidR="00D37E7E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onocromía.</w:t>
            </w:r>
            <w:r w:rsidR="008A4426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En un</w:t>
            </w:r>
            <w:r w:rsidR="00DD032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octavo de cartulina</w:t>
            </w:r>
            <w:r w:rsidR="008A4426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realizar el ejercicio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de dibujar y pintar </w:t>
            </w:r>
          </w:p>
          <w:p w:rsidR="00DD0327" w:rsidRPr="00DD0327" w:rsidRDefault="008B6F41" w:rsidP="00DD032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3-</w:t>
            </w:r>
            <w:r w:rsidR="00DD0327" w:rsidRPr="00DD032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siguiendo el modelo o imagen de la </w:t>
            </w:r>
            <w:r w:rsidR="00DD032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composición dos</w:t>
            </w:r>
            <w:r w:rsidR="00DD0327" w:rsidRPr="00DD032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. </w:t>
            </w:r>
            <w:r w:rsidR="00DD032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Poli</w:t>
            </w:r>
            <w:r w:rsidR="00DD0327" w:rsidRPr="00DD032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cromía. </w:t>
            </w:r>
            <w:r w:rsidR="00DD032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Realizar la composición en un octavo de cartulina </w:t>
            </w:r>
          </w:p>
          <w:p w:rsidR="00DD0327" w:rsidRPr="00DD0327" w:rsidRDefault="00DD0327" w:rsidP="00DD032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DD032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  </w:t>
            </w:r>
          </w:p>
          <w:p w:rsidR="00800292" w:rsidRDefault="00800292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00292" w:rsidRDefault="00800292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F941F5" w:rsidRDefault="00F941F5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00292" w:rsidRDefault="00800292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00292" w:rsidRDefault="00800292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D13699" w:rsidRDefault="00D13699" w:rsidP="00D13699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1F56B9" w:rsidRDefault="001F56B9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8B2311" w:rsidRPr="00FC4588" w:rsidRDefault="008B2311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  <w:tr w:rsidR="00922EEF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922EEF" w:rsidRDefault="00922EEF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lastRenderedPageBreak/>
              <w:t>BIBLIOGRAFIA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/</w:t>
            </w:r>
            <w:proofErr w:type="spellStart"/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t>CIBERGRAFIAS</w:t>
            </w:r>
            <w:proofErr w:type="spellEnd"/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A44B48" w:rsidRDefault="00A44B48" w:rsidP="00693E7C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A44B48" w:rsidRPr="003C2EE7" w:rsidRDefault="00A44B48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 xml:space="preserve">PARA SABER 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MÁS..!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FF0815" w:rsidRPr="003C2EE7" w:rsidRDefault="00FF0815" w:rsidP="000F56F3">
            <w:pPr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5568D" w:rsidRDefault="0075568D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p w:rsidR="00241ACF" w:rsidRPr="00AE0DFD" w:rsidRDefault="00241ACF" w:rsidP="0075568D">
      <w:pPr>
        <w:pStyle w:val="Prrafodelista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775201">
        <w:tc>
          <w:tcPr>
            <w:tcW w:w="5623" w:type="dxa"/>
          </w:tcPr>
          <w:p w:rsidR="0078376E" w:rsidRDefault="005F1B07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5F1B07" w:rsidP="003D0470">
            <w:pPr>
              <w:jc w:val="center"/>
            </w:pPr>
            <w:hyperlink r:id="rId12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5F1B07" w:rsidP="003D0470">
            <w:pPr>
              <w:jc w:val="center"/>
            </w:pPr>
            <w:hyperlink r:id="rId13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5F1B07" w:rsidP="003D0470">
            <w:pPr>
              <w:jc w:val="center"/>
            </w:pPr>
            <w:hyperlink r:id="rId14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5F1B07" w:rsidP="003D0470">
            <w:pPr>
              <w:jc w:val="center"/>
            </w:pPr>
            <w:hyperlink r:id="rId15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5F1B07" w:rsidP="003D0470">
            <w:pPr>
              <w:jc w:val="center"/>
            </w:pPr>
            <w:hyperlink r:id="rId16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5F1B07" w:rsidP="003D0470">
            <w:pPr>
              <w:jc w:val="center"/>
            </w:pPr>
            <w:hyperlink r:id="rId17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5F1B07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5F1B07" w:rsidP="000F56F3">
            <w:pPr>
              <w:jc w:val="center"/>
            </w:pPr>
            <w:hyperlink r:id="rId19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5F1B07" w:rsidP="000F56F3">
            <w:pPr>
              <w:jc w:val="center"/>
            </w:pPr>
            <w:hyperlink r:id="rId20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5F1B07" w:rsidP="000F56F3">
            <w:pPr>
              <w:jc w:val="center"/>
            </w:pPr>
            <w:hyperlink r:id="rId21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5F1B07" w:rsidP="000F56F3">
            <w:pPr>
              <w:jc w:val="center"/>
            </w:pPr>
            <w:hyperlink r:id="rId22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5F1B07" w:rsidP="000F56F3">
            <w:pPr>
              <w:jc w:val="center"/>
            </w:pPr>
            <w:hyperlink r:id="rId23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5F1B07" w:rsidP="000F56F3">
            <w:pPr>
              <w:jc w:val="center"/>
            </w:pPr>
            <w:hyperlink r:id="rId24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5F1B07" w:rsidP="000F56F3">
            <w:pPr>
              <w:jc w:val="center"/>
            </w:pPr>
            <w:hyperlink r:id="rId25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26"/>
      <w:footerReference w:type="default" r:id="rId27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B07" w:rsidRDefault="005F1B07" w:rsidP="00501371">
      <w:pPr>
        <w:spacing w:after="0" w:line="240" w:lineRule="auto"/>
      </w:pPr>
      <w:r>
        <w:separator/>
      </w:r>
    </w:p>
  </w:endnote>
  <w:endnote w:type="continuationSeparator" w:id="0">
    <w:p w:rsidR="005F1B07" w:rsidRDefault="005F1B07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CDC" w:rsidRDefault="003C2CDC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B736F8" w:rsidRPr="00B736F8" w:rsidRDefault="00F42E21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Proyectado</w:t>
    </w:r>
    <w:r w:rsidR="003C2CDC">
      <w:rPr>
        <w:rFonts w:asciiTheme="majorHAnsi" w:hAnsiTheme="majorHAnsi"/>
        <w:sz w:val="16"/>
        <w:szCs w:val="16"/>
      </w:rPr>
      <w:t>. Segrith Ospino Gonzále</w:t>
    </w:r>
    <w:r w:rsidR="000C23B3">
      <w:rPr>
        <w:rFonts w:asciiTheme="majorHAnsi" w:hAnsiTheme="majorHAnsi"/>
        <w:sz w:val="16"/>
        <w:szCs w:val="16"/>
      </w:rPr>
      <w:t xml:space="preserve">z </w:t>
    </w:r>
    <w:r w:rsidR="003C2CDC">
      <w:rPr>
        <w:rFonts w:asciiTheme="majorHAnsi" w:hAnsiTheme="majorHAnsi"/>
        <w:sz w:val="16"/>
        <w:szCs w:val="16"/>
      </w:rPr>
      <w:t xml:space="preserve">                                                                                           </w:t>
    </w:r>
    <w:r>
      <w:rPr>
        <w:rFonts w:asciiTheme="majorHAnsi" w:hAnsiTheme="majorHAnsi"/>
        <w:sz w:val="16"/>
        <w:szCs w:val="16"/>
      </w:rPr>
      <w:t xml:space="preserve">  </w:t>
    </w:r>
    <w:r w:rsidR="00B736F8"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="00B736F8" w:rsidRPr="00B736F8">
      <w:rPr>
        <w:rFonts w:asciiTheme="majorHAnsi" w:hAnsiTheme="majorHAnsi"/>
        <w:sz w:val="16"/>
        <w:szCs w:val="16"/>
      </w:rPr>
      <w:t xml:space="preserve">Página </w:t>
    </w:r>
    <w:r w:rsidR="00B736F8" w:rsidRPr="00B736F8">
      <w:rPr>
        <w:sz w:val="16"/>
        <w:szCs w:val="16"/>
      </w:rPr>
      <w:fldChar w:fldCharType="begin"/>
    </w:r>
    <w:r w:rsidR="00B736F8" w:rsidRPr="00B736F8">
      <w:rPr>
        <w:sz w:val="16"/>
        <w:szCs w:val="16"/>
      </w:rPr>
      <w:instrText xml:space="preserve"> PAGE   \* MERGEFORMAT </w:instrText>
    </w:r>
    <w:r w:rsidR="00B736F8" w:rsidRPr="00B736F8">
      <w:rPr>
        <w:sz w:val="16"/>
        <w:szCs w:val="16"/>
      </w:rPr>
      <w:fldChar w:fldCharType="separate"/>
    </w:r>
    <w:r w:rsidR="009817BE" w:rsidRPr="009817BE">
      <w:rPr>
        <w:rFonts w:asciiTheme="majorHAnsi" w:hAnsiTheme="majorHAnsi"/>
        <w:noProof/>
        <w:sz w:val="16"/>
        <w:szCs w:val="16"/>
      </w:rPr>
      <w:t>3</w:t>
    </w:r>
    <w:r w:rsidR="00B736F8" w:rsidRPr="00B736F8">
      <w:rPr>
        <w:sz w:val="16"/>
        <w:szCs w:val="16"/>
      </w:rPr>
      <w:fldChar w:fldCharType="end"/>
    </w:r>
  </w:p>
  <w:p w:rsidR="00B736F8" w:rsidRDefault="00B73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B07" w:rsidRDefault="005F1B07" w:rsidP="00501371">
      <w:pPr>
        <w:spacing w:after="0" w:line="240" w:lineRule="auto"/>
      </w:pPr>
      <w:r>
        <w:separator/>
      </w:r>
    </w:p>
  </w:footnote>
  <w:footnote w:type="continuationSeparator" w:id="0">
    <w:p w:rsidR="005F1B07" w:rsidRDefault="005F1B07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429" w:rsidRDefault="00F81733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="00781429" w:rsidRPr="002F31BB">
      <w:rPr>
        <w:rFonts w:ascii="Arial" w:hAnsi="Arial" w:cs="Arial"/>
        <w:b/>
        <w:szCs w:val="14"/>
      </w:rPr>
      <w:t>EDUCATIVA</w:t>
    </w:r>
    <w:r w:rsidR="007166AE">
      <w:rPr>
        <w:rFonts w:ascii="Arial" w:hAnsi="Arial" w:cs="Arial"/>
        <w:b/>
        <w:szCs w:val="14"/>
      </w:rPr>
      <w:t xml:space="preserve"> MARIA DORALIZA LOPEZ DE MEJIA</w:t>
    </w:r>
  </w:p>
  <w:p w:rsidR="00F81733" w:rsidRDefault="00F81733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781429" w:rsidRDefault="007166AE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="00781429" w:rsidRPr="002F31BB">
      <w:rPr>
        <w:rFonts w:ascii="Arial" w:hAnsi="Arial" w:cs="Arial"/>
        <w:b/>
        <w:szCs w:val="14"/>
      </w:rPr>
      <w:t xml:space="preserve"> – LA GUAJIRA</w:t>
    </w:r>
    <w:r w:rsidR="00781429">
      <w:rPr>
        <w:rFonts w:ascii="Arial" w:hAnsi="Arial" w:cs="Arial"/>
        <w:b/>
        <w:szCs w:val="14"/>
      </w:rPr>
      <w:t xml:space="preserve"> </w:t>
    </w:r>
  </w:p>
  <w:p w:rsidR="00781429" w:rsidRPr="00DF24D2" w:rsidRDefault="00DF24D2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781429" w:rsidRPr="00F81733" w:rsidRDefault="00AB3F04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 w:rsidR="00C102E7">
      <w:rPr>
        <w:rFonts w:ascii="Arial" w:hAnsi="Arial" w:cs="Arial"/>
        <w:b/>
        <w:bCs/>
        <w:sz w:val="32"/>
        <w:szCs w:val="32"/>
      </w:rPr>
      <w:t>de la Clase Virtual (Guía)</w:t>
    </w:r>
  </w:p>
  <w:p w:rsidR="003C2CDC" w:rsidRPr="003C2CDC" w:rsidRDefault="00781429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</w:t>
    </w:r>
    <w:r w:rsidR="00DA5E2A">
      <w:rPr>
        <w:rFonts w:ascii="Arial" w:hAnsi="Arial" w:cs="Arial"/>
        <w:b/>
        <w:bCs/>
        <w:sz w:val="24"/>
        <w:szCs w:val="24"/>
      </w:rPr>
      <w:t>20</w:t>
    </w:r>
  </w:p>
  <w:p w:rsidR="00781429" w:rsidRPr="00F81733" w:rsidRDefault="00781429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91A58"/>
    <w:multiLevelType w:val="hybridMultilevel"/>
    <w:tmpl w:val="0910F892"/>
    <w:lvl w:ilvl="0" w:tplc="EEB8B6D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81E47"/>
    <w:multiLevelType w:val="hybridMultilevel"/>
    <w:tmpl w:val="1A3839F8"/>
    <w:lvl w:ilvl="0" w:tplc="BABC746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91FC2"/>
    <w:multiLevelType w:val="hybridMultilevel"/>
    <w:tmpl w:val="1ED8957C"/>
    <w:lvl w:ilvl="0" w:tplc="847292F4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BA80A1C"/>
    <w:multiLevelType w:val="hybridMultilevel"/>
    <w:tmpl w:val="505EB918"/>
    <w:lvl w:ilvl="0" w:tplc="6F4875C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86B4C"/>
    <w:multiLevelType w:val="hybridMultilevel"/>
    <w:tmpl w:val="72B8561C"/>
    <w:lvl w:ilvl="0" w:tplc="B68A6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4" w15:restartNumberingAfterBreak="0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03988"/>
    <w:multiLevelType w:val="hybridMultilevel"/>
    <w:tmpl w:val="457AC564"/>
    <w:lvl w:ilvl="0" w:tplc="BDE6BBB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0"/>
  </w:num>
  <w:num w:numId="4">
    <w:abstractNumId w:val="7"/>
  </w:num>
  <w:num w:numId="5">
    <w:abstractNumId w:val="22"/>
  </w:num>
  <w:num w:numId="6">
    <w:abstractNumId w:val="0"/>
  </w:num>
  <w:num w:numId="7">
    <w:abstractNumId w:val="12"/>
  </w:num>
  <w:num w:numId="8">
    <w:abstractNumId w:val="14"/>
  </w:num>
  <w:num w:numId="9">
    <w:abstractNumId w:val="20"/>
  </w:num>
  <w:num w:numId="10">
    <w:abstractNumId w:val="16"/>
  </w:num>
  <w:num w:numId="11">
    <w:abstractNumId w:val="15"/>
  </w:num>
  <w:num w:numId="12">
    <w:abstractNumId w:val="11"/>
  </w:num>
  <w:num w:numId="13">
    <w:abstractNumId w:val="1"/>
  </w:num>
  <w:num w:numId="14">
    <w:abstractNumId w:val="13"/>
  </w:num>
  <w:num w:numId="15">
    <w:abstractNumId w:val="6"/>
  </w:num>
  <w:num w:numId="16">
    <w:abstractNumId w:val="17"/>
  </w:num>
  <w:num w:numId="17">
    <w:abstractNumId w:val="18"/>
  </w:num>
  <w:num w:numId="18">
    <w:abstractNumId w:val="9"/>
  </w:num>
  <w:num w:numId="19">
    <w:abstractNumId w:val="2"/>
  </w:num>
  <w:num w:numId="20">
    <w:abstractNumId w:val="8"/>
  </w:num>
  <w:num w:numId="21">
    <w:abstractNumId w:val="5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BC"/>
    <w:rsid w:val="00002FD1"/>
    <w:rsid w:val="00004278"/>
    <w:rsid w:val="000062FD"/>
    <w:rsid w:val="000106CA"/>
    <w:rsid w:val="000107AF"/>
    <w:rsid w:val="00017D5F"/>
    <w:rsid w:val="000274F6"/>
    <w:rsid w:val="000301E9"/>
    <w:rsid w:val="00037BCB"/>
    <w:rsid w:val="000427F8"/>
    <w:rsid w:val="00045D45"/>
    <w:rsid w:val="000463F2"/>
    <w:rsid w:val="00052402"/>
    <w:rsid w:val="00054459"/>
    <w:rsid w:val="000951DE"/>
    <w:rsid w:val="000A05DF"/>
    <w:rsid w:val="000A075A"/>
    <w:rsid w:val="000A7A08"/>
    <w:rsid w:val="000B2B42"/>
    <w:rsid w:val="000C23B3"/>
    <w:rsid w:val="000F33E8"/>
    <w:rsid w:val="000F3E5D"/>
    <w:rsid w:val="000F56F3"/>
    <w:rsid w:val="000F6402"/>
    <w:rsid w:val="00111069"/>
    <w:rsid w:val="001311E1"/>
    <w:rsid w:val="001516C6"/>
    <w:rsid w:val="001839FE"/>
    <w:rsid w:val="001A5C69"/>
    <w:rsid w:val="001A6296"/>
    <w:rsid w:val="001B2B8D"/>
    <w:rsid w:val="001B6A8F"/>
    <w:rsid w:val="001D261C"/>
    <w:rsid w:val="001E38E9"/>
    <w:rsid w:val="001E5742"/>
    <w:rsid w:val="001F56B9"/>
    <w:rsid w:val="001F62E6"/>
    <w:rsid w:val="00210991"/>
    <w:rsid w:val="00210D19"/>
    <w:rsid w:val="00211683"/>
    <w:rsid w:val="002119FF"/>
    <w:rsid w:val="00216FA8"/>
    <w:rsid w:val="00224A1E"/>
    <w:rsid w:val="00227654"/>
    <w:rsid w:val="002318CC"/>
    <w:rsid w:val="00235FFE"/>
    <w:rsid w:val="00241ACF"/>
    <w:rsid w:val="00243775"/>
    <w:rsid w:val="00251538"/>
    <w:rsid w:val="00261333"/>
    <w:rsid w:val="0026442A"/>
    <w:rsid w:val="00265E90"/>
    <w:rsid w:val="002978A1"/>
    <w:rsid w:val="00297CB0"/>
    <w:rsid w:val="002A17CB"/>
    <w:rsid w:val="002A23C4"/>
    <w:rsid w:val="002B394E"/>
    <w:rsid w:val="002C0B02"/>
    <w:rsid w:val="002C4224"/>
    <w:rsid w:val="002E1AA3"/>
    <w:rsid w:val="002E6790"/>
    <w:rsid w:val="002F0340"/>
    <w:rsid w:val="00320229"/>
    <w:rsid w:val="00321AF6"/>
    <w:rsid w:val="0033360D"/>
    <w:rsid w:val="0033436B"/>
    <w:rsid w:val="00342D3F"/>
    <w:rsid w:val="00350248"/>
    <w:rsid w:val="00360A7A"/>
    <w:rsid w:val="00377F46"/>
    <w:rsid w:val="00394BE1"/>
    <w:rsid w:val="00397534"/>
    <w:rsid w:val="003A0312"/>
    <w:rsid w:val="003A411C"/>
    <w:rsid w:val="003B1CCF"/>
    <w:rsid w:val="003B604B"/>
    <w:rsid w:val="003C2CDC"/>
    <w:rsid w:val="003C2EE7"/>
    <w:rsid w:val="003C7EEB"/>
    <w:rsid w:val="003D0470"/>
    <w:rsid w:val="003D48C8"/>
    <w:rsid w:val="003E2C90"/>
    <w:rsid w:val="003F0FFC"/>
    <w:rsid w:val="00400E7C"/>
    <w:rsid w:val="004051BB"/>
    <w:rsid w:val="00411119"/>
    <w:rsid w:val="00420C33"/>
    <w:rsid w:val="00423D4F"/>
    <w:rsid w:val="0042443B"/>
    <w:rsid w:val="0043640F"/>
    <w:rsid w:val="00443EDD"/>
    <w:rsid w:val="00445B74"/>
    <w:rsid w:val="0045246D"/>
    <w:rsid w:val="0046250B"/>
    <w:rsid w:val="00473A25"/>
    <w:rsid w:val="004841A5"/>
    <w:rsid w:val="00485A06"/>
    <w:rsid w:val="004935D4"/>
    <w:rsid w:val="004A1669"/>
    <w:rsid w:val="004B1477"/>
    <w:rsid w:val="004B1AB1"/>
    <w:rsid w:val="004B4865"/>
    <w:rsid w:val="004C2C0A"/>
    <w:rsid w:val="004D1206"/>
    <w:rsid w:val="004F05AA"/>
    <w:rsid w:val="00501371"/>
    <w:rsid w:val="00503329"/>
    <w:rsid w:val="00505287"/>
    <w:rsid w:val="005052C5"/>
    <w:rsid w:val="0050651B"/>
    <w:rsid w:val="00515D2A"/>
    <w:rsid w:val="00533A23"/>
    <w:rsid w:val="00536989"/>
    <w:rsid w:val="00540920"/>
    <w:rsid w:val="005567D7"/>
    <w:rsid w:val="00571069"/>
    <w:rsid w:val="005720B7"/>
    <w:rsid w:val="00581B71"/>
    <w:rsid w:val="00592248"/>
    <w:rsid w:val="00592C28"/>
    <w:rsid w:val="005A52B6"/>
    <w:rsid w:val="005D08EC"/>
    <w:rsid w:val="005D22E7"/>
    <w:rsid w:val="005E048E"/>
    <w:rsid w:val="005E3706"/>
    <w:rsid w:val="005F1B07"/>
    <w:rsid w:val="0060478F"/>
    <w:rsid w:val="00615553"/>
    <w:rsid w:val="00620785"/>
    <w:rsid w:val="00624551"/>
    <w:rsid w:val="00626853"/>
    <w:rsid w:val="00644386"/>
    <w:rsid w:val="0066598B"/>
    <w:rsid w:val="006818EB"/>
    <w:rsid w:val="00695E32"/>
    <w:rsid w:val="006A2664"/>
    <w:rsid w:val="006A7174"/>
    <w:rsid w:val="006B07A7"/>
    <w:rsid w:val="006B79CC"/>
    <w:rsid w:val="006E1A25"/>
    <w:rsid w:val="006E39A8"/>
    <w:rsid w:val="006E576E"/>
    <w:rsid w:val="006F4F18"/>
    <w:rsid w:val="00710213"/>
    <w:rsid w:val="007166AE"/>
    <w:rsid w:val="007238BC"/>
    <w:rsid w:val="00724B15"/>
    <w:rsid w:val="00724BCF"/>
    <w:rsid w:val="00735FB3"/>
    <w:rsid w:val="00741D41"/>
    <w:rsid w:val="00746DC0"/>
    <w:rsid w:val="00750DA3"/>
    <w:rsid w:val="00751DEA"/>
    <w:rsid w:val="0075568D"/>
    <w:rsid w:val="00761255"/>
    <w:rsid w:val="00772FEA"/>
    <w:rsid w:val="00775AD6"/>
    <w:rsid w:val="00781429"/>
    <w:rsid w:val="0078376E"/>
    <w:rsid w:val="007868CB"/>
    <w:rsid w:val="00791E89"/>
    <w:rsid w:val="007A0E80"/>
    <w:rsid w:val="007A4156"/>
    <w:rsid w:val="007B143A"/>
    <w:rsid w:val="007B7E0B"/>
    <w:rsid w:val="007C25DC"/>
    <w:rsid w:val="007C4ABE"/>
    <w:rsid w:val="007D0065"/>
    <w:rsid w:val="007F7194"/>
    <w:rsid w:val="00800292"/>
    <w:rsid w:val="00803336"/>
    <w:rsid w:val="00821261"/>
    <w:rsid w:val="00836AF1"/>
    <w:rsid w:val="008505C1"/>
    <w:rsid w:val="00857A3D"/>
    <w:rsid w:val="00860AA9"/>
    <w:rsid w:val="00864F65"/>
    <w:rsid w:val="008672D6"/>
    <w:rsid w:val="008A0416"/>
    <w:rsid w:val="008A057E"/>
    <w:rsid w:val="008A0803"/>
    <w:rsid w:val="008A4426"/>
    <w:rsid w:val="008B2311"/>
    <w:rsid w:val="008B3651"/>
    <w:rsid w:val="008B6F41"/>
    <w:rsid w:val="008B7C2C"/>
    <w:rsid w:val="008C3C25"/>
    <w:rsid w:val="008D5EB6"/>
    <w:rsid w:val="008E288F"/>
    <w:rsid w:val="008E4B8D"/>
    <w:rsid w:val="008E5599"/>
    <w:rsid w:val="008F383C"/>
    <w:rsid w:val="008F4A93"/>
    <w:rsid w:val="00903E32"/>
    <w:rsid w:val="00913752"/>
    <w:rsid w:val="00914E03"/>
    <w:rsid w:val="00917BE2"/>
    <w:rsid w:val="00922EEF"/>
    <w:rsid w:val="00925FD8"/>
    <w:rsid w:val="00931013"/>
    <w:rsid w:val="009350BE"/>
    <w:rsid w:val="009371D4"/>
    <w:rsid w:val="00941EEE"/>
    <w:rsid w:val="009446CB"/>
    <w:rsid w:val="009463C7"/>
    <w:rsid w:val="0095474D"/>
    <w:rsid w:val="00965163"/>
    <w:rsid w:val="00967C28"/>
    <w:rsid w:val="009817BE"/>
    <w:rsid w:val="00990224"/>
    <w:rsid w:val="00990D3D"/>
    <w:rsid w:val="0099127B"/>
    <w:rsid w:val="009A32B9"/>
    <w:rsid w:val="009A3E6A"/>
    <w:rsid w:val="009B2431"/>
    <w:rsid w:val="009C50EE"/>
    <w:rsid w:val="009D4031"/>
    <w:rsid w:val="009D5D5C"/>
    <w:rsid w:val="009D6592"/>
    <w:rsid w:val="009F19EB"/>
    <w:rsid w:val="00A11048"/>
    <w:rsid w:val="00A12B66"/>
    <w:rsid w:val="00A4491F"/>
    <w:rsid w:val="00A44B48"/>
    <w:rsid w:val="00A467A1"/>
    <w:rsid w:val="00A47677"/>
    <w:rsid w:val="00A50920"/>
    <w:rsid w:val="00A57D62"/>
    <w:rsid w:val="00A61707"/>
    <w:rsid w:val="00A64613"/>
    <w:rsid w:val="00A77045"/>
    <w:rsid w:val="00A77F5A"/>
    <w:rsid w:val="00A809E6"/>
    <w:rsid w:val="00A9258A"/>
    <w:rsid w:val="00AB10A6"/>
    <w:rsid w:val="00AB1B6C"/>
    <w:rsid w:val="00AB263D"/>
    <w:rsid w:val="00AB3F04"/>
    <w:rsid w:val="00AB4522"/>
    <w:rsid w:val="00AB4531"/>
    <w:rsid w:val="00AD391D"/>
    <w:rsid w:val="00AD3CAA"/>
    <w:rsid w:val="00AE0DFD"/>
    <w:rsid w:val="00AF07B1"/>
    <w:rsid w:val="00AF3C77"/>
    <w:rsid w:val="00B04945"/>
    <w:rsid w:val="00B12B2F"/>
    <w:rsid w:val="00B21B8E"/>
    <w:rsid w:val="00B36F82"/>
    <w:rsid w:val="00B44D06"/>
    <w:rsid w:val="00B453CA"/>
    <w:rsid w:val="00B702A3"/>
    <w:rsid w:val="00B736F8"/>
    <w:rsid w:val="00B81B08"/>
    <w:rsid w:val="00B92E8B"/>
    <w:rsid w:val="00BA713C"/>
    <w:rsid w:val="00BA7BEC"/>
    <w:rsid w:val="00BB7074"/>
    <w:rsid w:val="00BC1622"/>
    <w:rsid w:val="00BC2F06"/>
    <w:rsid w:val="00BC4125"/>
    <w:rsid w:val="00BC450E"/>
    <w:rsid w:val="00BC6674"/>
    <w:rsid w:val="00BD148F"/>
    <w:rsid w:val="00BD273B"/>
    <w:rsid w:val="00BD642B"/>
    <w:rsid w:val="00BF74E9"/>
    <w:rsid w:val="00BF7B14"/>
    <w:rsid w:val="00C0401D"/>
    <w:rsid w:val="00C05F64"/>
    <w:rsid w:val="00C102E7"/>
    <w:rsid w:val="00C120CD"/>
    <w:rsid w:val="00C34717"/>
    <w:rsid w:val="00C402FB"/>
    <w:rsid w:val="00C42258"/>
    <w:rsid w:val="00C42FC8"/>
    <w:rsid w:val="00C46841"/>
    <w:rsid w:val="00C50C5D"/>
    <w:rsid w:val="00C5393B"/>
    <w:rsid w:val="00C56A00"/>
    <w:rsid w:val="00C76083"/>
    <w:rsid w:val="00C76CBD"/>
    <w:rsid w:val="00C8525E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D5F8B"/>
    <w:rsid w:val="00CE17EC"/>
    <w:rsid w:val="00CE23CF"/>
    <w:rsid w:val="00CF5AB0"/>
    <w:rsid w:val="00D1252D"/>
    <w:rsid w:val="00D13699"/>
    <w:rsid w:val="00D325DB"/>
    <w:rsid w:val="00D37E7E"/>
    <w:rsid w:val="00D60B26"/>
    <w:rsid w:val="00D66A04"/>
    <w:rsid w:val="00D97305"/>
    <w:rsid w:val="00DA5E2A"/>
    <w:rsid w:val="00DA6786"/>
    <w:rsid w:val="00DB2397"/>
    <w:rsid w:val="00DB37CA"/>
    <w:rsid w:val="00DB5C36"/>
    <w:rsid w:val="00DC1142"/>
    <w:rsid w:val="00DC3036"/>
    <w:rsid w:val="00DD0327"/>
    <w:rsid w:val="00DD2055"/>
    <w:rsid w:val="00DD312D"/>
    <w:rsid w:val="00DE1488"/>
    <w:rsid w:val="00DE3153"/>
    <w:rsid w:val="00DE50E9"/>
    <w:rsid w:val="00DF24D2"/>
    <w:rsid w:val="00DF294A"/>
    <w:rsid w:val="00E001F4"/>
    <w:rsid w:val="00E06340"/>
    <w:rsid w:val="00E124BF"/>
    <w:rsid w:val="00E13865"/>
    <w:rsid w:val="00E207D1"/>
    <w:rsid w:val="00E23737"/>
    <w:rsid w:val="00E24FAD"/>
    <w:rsid w:val="00E37F83"/>
    <w:rsid w:val="00E55183"/>
    <w:rsid w:val="00E712DC"/>
    <w:rsid w:val="00E722D3"/>
    <w:rsid w:val="00E86F4B"/>
    <w:rsid w:val="00EB3468"/>
    <w:rsid w:val="00EC53B6"/>
    <w:rsid w:val="00ED7F69"/>
    <w:rsid w:val="00EE4474"/>
    <w:rsid w:val="00EE570B"/>
    <w:rsid w:val="00EE64D6"/>
    <w:rsid w:val="00F0327E"/>
    <w:rsid w:val="00F15E1B"/>
    <w:rsid w:val="00F207C2"/>
    <w:rsid w:val="00F2534B"/>
    <w:rsid w:val="00F275E1"/>
    <w:rsid w:val="00F279E8"/>
    <w:rsid w:val="00F329E9"/>
    <w:rsid w:val="00F3303A"/>
    <w:rsid w:val="00F42E21"/>
    <w:rsid w:val="00F458B6"/>
    <w:rsid w:val="00F45C3F"/>
    <w:rsid w:val="00F53B75"/>
    <w:rsid w:val="00F60DF3"/>
    <w:rsid w:val="00F81733"/>
    <w:rsid w:val="00F83009"/>
    <w:rsid w:val="00F924D3"/>
    <w:rsid w:val="00F941F5"/>
    <w:rsid w:val="00FA562D"/>
    <w:rsid w:val="00FA7D67"/>
    <w:rsid w:val="00FC4588"/>
    <w:rsid w:val="00FC77D3"/>
    <w:rsid w:val="00FD2802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3A0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ta@inemadol.edu.co" TargetMode="External"/><Relationship Id="rId13" Type="http://schemas.openxmlformats.org/officeDocument/2006/relationships/hyperlink" Target="https://tv.masterd.es/recursos-educativos" TargetMode="External"/><Relationship Id="rId18" Type="http://schemas.openxmlformats.org/officeDocument/2006/relationships/hyperlink" Target="https://www.youtube.com/channel/UCsF2xJz1ciaZlxHGk-PSSv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earth.google.com/web/@0,0,0a,22251752.77375655d,35y,0h,0t,0r?hl=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arth.google.com/web/@0,0,0a,22251752.77375655d,35y,0h,0t,0r?hl=es" TargetMode="External"/><Relationship Id="rId17" Type="http://schemas.openxmlformats.org/officeDocument/2006/relationships/hyperlink" Target="https://www.youtube.com/user/MateMovil1" TargetMode="External"/><Relationship Id="rId25" Type="http://schemas.openxmlformats.org/officeDocument/2006/relationships/hyperlink" Target="https://www.youtube.com/user/atiempopreescol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user/AcademiaInternet" TargetMode="External"/><Relationship Id="rId20" Type="http://schemas.openxmlformats.org/officeDocument/2006/relationships/hyperlink" Target="https://es.khanacademy.org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rende.colombiaaprende.edu.co/sites/default/files/naspublic/ContenidosAprender/index.html" TargetMode="External"/><Relationship Id="rId24" Type="http://schemas.openxmlformats.org/officeDocument/2006/relationships/hyperlink" Target="https://www.youtube.com/user/ElRobotdePlat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julioprofe" TargetMode="External"/><Relationship Id="rId23" Type="http://schemas.openxmlformats.org/officeDocument/2006/relationships/hyperlink" Target="https://www.youtube.com/channel/UCbho5-gJi8FwvhVFzfod6VQ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contenidos.colombiaaprende.edu.co/contenido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youtube.com/watch?v=PCRCrdJbaCM" TargetMode="External"/><Relationship Id="rId22" Type="http://schemas.openxmlformats.org/officeDocument/2006/relationships/hyperlink" Target="https://www.youtube.com/watch?v=pS7p6FfU4b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7A772-2ECB-4371-B7E7-CDF817D5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1462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Arrieta</dc:creator>
  <cp:lastModifiedBy>CARMEN CECILIA ARRIETA PATERNINA</cp:lastModifiedBy>
  <cp:revision>22</cp:revision>
  <cp:lastPrinted>2011-03-24T16:18:00Z</cp:lastPrinted>
  <dcterms:created xsi:type="dcterms:W3CDTF">2020-04-30T15:49:00Z</dcterms:created>
  <dcterms:modified xsi:type="dcterms:W3CDTF">2020-05-21T04:44:00Z</dcterms:modified>
</cp:coreProperties>
</file>